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1076A1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A3D3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Pr="00EA3D3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EA3D37" w:rsidRPr="00EA3D37">
        <w:rPr>
          <w:b/>
          <w:sz w:val="18"/>
          <w:szCs w:val="18"/>
        </w:rPr>
        <w:t xml:space="preserve">Klimatizace </w:t>
      </w:r>
      <w:r w:rsidR="00772C80">
        <w:rPr>
          <w:b/>
          <w:sz w:val="18"/>
          <w:szCs w:val="18"/>
        </w:rPr>
        <w:t>do dopravních kanceláří – OŘ OVA 2024</w:t>
      </w:r>
      <w:r w:rsidR="00B83E9A" w:rsidRPr="00EA3D3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A3D3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A3D37" w:rsidRPr="00EA3D37">
        <w:rPr>
          <w:rFonts w:eastAsia="Times New Roman" w:cs="Times New Roman"/>
          <w:sz w:val="18"/>
          <w:szCs w:val="18"/>
          <w:lang w:eastAsia="cs-CZ"/>
        </w:rPr>
        <w:t>2</w:t>
      </w:r>
      <w:r w:rsidR="00772C80">
        <w:rPr>
          <w:rFonts w:eastAsia="Times New Roman" w:cs="Times New Roman"/>
          <w:sz w:val="18"/>
          <w:szCs w:val="18"/>
          <w:lang w:eastAsia="cs-CZ"/>
        </w:rPr>
        <w:t>5085</w:t>
      </w:r>
      <w:r w:rsidR="00EA3D37">
        <w:rPr>
          <w:rFonts w:eastAsia="Times New Roman" w:cs="Times New Roman"/>
          <w:sz w:val="18"/>
          <w:szCs w:val="18"/>
          <w:lang w:eastAsia="cs-CZ"/>
        </w:rPr>
        <w:t>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A127F"/>
    <w:rsid w:val="003C089A"/>
    <w:rsid w:val="003E5D69"/>
    <w:rsid w:val="004306D4"/>
    <w:rsid w:val="00475B57"/>
    <w:rsid w:val="0048370E"/>
    <w:rsid w:val="00506089"/>
    <w:rsid w:val="005333BD"/>
    <w:rsid w:val="005C0B82"/>
    <w:rsid w:val="0060521D"/>
    <w:rsid w:val="006922AF"/>
    <w:rsid w:val="00772C80"/>
    <w:rsid w:val="00945BB8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EA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439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20</cp:revision>
  <dcterms:created xsi:type="dcterms:W3CDTF">2022-04-17T17:33:00Z</dcterms:created>
  <dcterms:modified xsi:type="dcterms:W3CDTF">2024-06-13T06:48:00Z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